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BD94F" w14:textId="77777777" w:rsidR="0075705E" w:rsidRPr="0075705E" w:rsidRDefault="0075705E" w:rsidP="0075705E">
      <w:pPr>
        <w:spacing w:after="0"/>
        <w:jc w:val="both"/>
        <w:rPr>
          <w:rFonts w:ascii="segoe" w:eastAsia="Times New Roman" w:hAnsi="segoe" w:cs="Times New Roman"/>
          <w:color w:val="000000"/>
          <w:sz w:val="20"/>
          <w:szCs w:val="20"/>
          <w:lang w:val="en-US"/>
        </w:rPr>
      </w:pPr>
      <w:r w:rsidRPr="0075705E">
        <w:rPr>
          <w:rFonts w:ascii="segoe" w:eastAsia="Times New Roman" w:hAnsi="segoe" w:cs="Times New Roman"/>
          <w:b/>
          <w:bCs/>
          <w:color w:val="000000"/>
          <w:sz w:val="20"/>
          <w:szCs w:val="20"/>
          <w:lang w:val="en-US"/>
        </w:rPr>
        <w:t>სუპერ სტარი</w:t>
      </w:r>
      <w:r w:rsidRPr="0075705E">
        <w:rPr>
          <w:rFonts w:ascii="segoe" w:eastAsia="Times New Roman" w:hAnsi="segoe" w:cs="Times New Roman"/>
          <w:color w:val="000000"/>
          <w:sz w:val="20"/>
          <w:szCs w:val="20"/>
          <w:lang w:val="en-US"/>
        </w:rPr>
        <w:t> არის სისტემურ–კონტაქტური მოქმედების კომბინირებული ფუნგიციდი. იგი არის როგორც დამცავი და სამკურნალო პრეპარატი, აგრეთვე აქვს ანტისპორათწარმომქმნელ გამანადგურებელი თვისებები.</w:t>
      </w:r>
    </w:p>
    <w:p w14:paraId="06DC9A72" w14:textId="77777777" w:rsidR="0075705E" w:rsidRPr="0075705E" w:rsidRDefault="0075705E" w:rsidP="0075705E">
      <w:pPr>
        <w:spacing w:after="0"/>
        <w:jc w:val="both"/>
        <w:rPr>
          <w:rFonts w:ascii="segoe" w:eastAsia="Times New Roman" w:hAnsi="segoe" w:cs="Times New Roman"/>
          <w:color w:val="000000"/>
          <w:sz w:val="20"/>
          <w:szCs w:val="20"/>
          <w:lang w:val="en-US"/>
        </w:rPr>
      </w:pPr>
      <w:r w:rsidRPr="0075705E">
        <w:rPr>
          <w:rFonts w:ascii="segoe" w:eastAsia="Times New Roman" w:hAnsi="segoe" w:cs="Times New Roman"/>
          <w:color w:val="000000"/>
          <w:sz w:val="20"/>
          <w:szCs w:val="20"/>
          <w:lang w:val="en-US"/>
        </w:rPr>
        <w:t> </w:t>
      </w:r>
    </w:p>
    <w:p w14:paraId="581DCCB9" w14:textId="77777777" w:rsidR="0075705E" w:rsidRPr="0075705E" w:rsidRDefault="0075705E" w:rsidP="0075705E">
      <w:pPr>
        <w:spacing w:after="0"/>
        <w:jc w:val="both"/>
        <w:rPr>
          <w:rFonts w:ascii="segoe" w:eastAsia="Times New Roman" w:hAnsi="segoe" w:cs="Times New Roman"/>
          <w:color w:val="000000"/>
          <w:sz w:val="20"/>
          <w:szCs w:val="20"/>
          <w:lang w:val="en-US"/>
        </w:rPr>
      </w:pPr>
      <w:r w:rsidRPr="0075705E">
        <w:rPr>
          <w:rFonts w:ascii="segoe" w:eastAsia="Times New Roman" w:hAnsi="segoe" w:cs="Times New Roman"/>
          <w:color w:val="000000"/>
          <w:sz w:val="20"/>
          <w:szCs w:val="20"/>
          <w:lang w:val="en-US"/>
        </w:rPr>
        <w:t>პრეპარატი იცავს მცენარეს კონტაქტური გზით როგორც გარედან, ისე შიგნით პათოგენის შეჭრისაგან. კონტაქტური ნივთიერება მანკოცები მოხვდება რა სოკოს პათოგენს, ადგილზე უკეთებს ლოკალიზებას, ხოლო სისტემური კომპონენტი ციმოქსანილი გადანაწილდება მთელ მცენარეში წვენთან ერთად და იცავს ახლად წარმოქმნილ მცენარის ორგანოებს. იგი განსაკუთრებით ეფექტურია ჭრაქის, ფიტოფტოროზის, ალტერნარიოზის და სხვა დაავადებების წინააღმდეგ საბრძოლველად.</w:t>
      </w:r>
    </w:p>
    <w:p w14:paraId="0A43AFB9" w14:textId="77777777" w:rsidR="0075705E" w:rsidRPr="0075705E" w:rsidRDefault="0075705E" w:rsidP="0075705E">
      <w:pPr>
        <w:spacing w:after="0"/>
        <w:jc w:val="both"/>
        <w:rPr>
          <w:rFonts w:ascii="segoe" w:eastAsia="Times New Roman" w:hAnsi="segoe" w:cs="Times New Roman"/>
          <w:color w:val="000000"/>
          <w:sz w:val="20"/>
          <w:szCs w:val="20"/>
          <w:lang w:val="en-US"/>
        </w:rPr>
      </w:pPr>
      <w:r w:rsidRPr="0075705E">
        <w:rPr>
          <w:rFonts w:ascii="segoe" w:eastAsia="Times New Roman" w:hAnsi="segoe" w:cs="Times New Roman"/>
          <w:color w:val="000000"/>
          <w:sz w:val="20"/>
          <w:szCs w:val="20"/>
          <w:lang w:val="en-US"/>
        </w:rPr>
        <w:t> </w:t>
      </w:r>
    </w:p>
    <w:p w14:paraId="61B90FDE" w14:textId="77777777" w:rsidR="0075705E" w:rsidRPr="0075705E" w:rsidRDefault="0075705E" w:rsidP="0075705E">
      <w:pPr>
        <w:jc w:val="both"/>
        <w:rPr>
          <w:rFonts w:ascii="segoe" w:eastAsia="Times New Roman" w:hAnsi="segoe" w:cs="Times New Roman"/>
          <w:color w:val="000000"/>
          <w:sz w:val="20"/>
          <w:szCs w:val="20"/>
          <w:lang w:val="en-US"/>
        </w:rPr>
      </w:pPr>
      <w:r w:rsidRPr="0075705E">
        <w:rPr>
          <w:rFonts w:ascii="segoe" w:eastAsia="Times New Roman" w:hAnsi="segoe" w:cs="Times New Roman"/>
          <w:color w:val="000000"/>
          <w:sz w:val="20"/>
          <w:szCs w:val="20"/>
          <w:lang w:val="en-US"/>
        </w:rPr>
        <w:t>პრეპარატი ინარჩუნებს ეფექტურუბას, მაღალი ინფექციური ფონის დროსაც </w:t>
      </w:r>
      <w:r w:rsidRPr="0075705E">
        <w:rPr>
          <w:rFonts w:ascii="segoe" w:eastAsia="Times New Roman" w:hAnsi="segoe" w:cs="Times New Roman"/>
          <w:color w:val="000000"/>
          <w:sz w:val="20"/>
          <w:szCs w:val="20"/>
          <w:lang w:val="en-US"/>
        </w:rPr>
        <w:br/>
        <w:t> </w:t>
      </w: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943"/>
        <w:gridCol w:w="1066"/>
        <w:gridCol w:w="1329"/>
        <w:gridCol w:w="1572"/>
      </w:tblGrid>
      <w:tr w:rsidR="0075705E" w:rsidRPr="0075705E" w14:paraId="2A0F6016" w14:textId="77777777" w:rsidTr="0075705E">
        <w:trPr>
          <w:tblHeader/>
        </w:trPr>
        <w:tc>
          <w:tcPr>
            <w:tcW w:w="0" w:type="auto"/>
            <w:tcBorders>
              <w:top w:val="outset" w:sz="6" w:space="0" w:color="auto"/>
              <w:left w:val="outset" w:sz="6" w:space="0" w:color="auto"/>
              <w:bottom w:val="outset" w:sz="6" w:space="0" w:color="auto"/>
              <w:right w:val="outset" w:sz="6" w:space="0" w:color="auto"/>
            </w:tcBorders>
            <w:tcMar>
              <w:top w:w="375" w:type="dxa"/>
              <w:left w:w="150" w:type="dxa"/>
              <w:bottom w:w="375" w:type="dxa"/>
              <w:right w:w="150" w:type="dxa"/>
            </w:tcMar>
            <w:vAlign w:val="center"/>
            <w:hideMark/>
          </w:tcPr>
          <w:p w14:paraId="13A29251" w14:textId="77777777" w:rsidR="0075705E" w:rsidRPr="0075705E" w:rsidRDefault="0075705E" w:rsidP="0075705E">
            <w:pPr>
              <w:spacing w:after="0"/>
              <w:jc w:val="center"/>
              <w:rPr>
                <w:rFonts w:ascii="panton" w:eastAsia="Times New Roman" w:hAnsi="panton" w:cs="Times New Roman"/>
                <w:b/>
                <w:bCs/>
                <w:sz w:val="18"/>
                <w:szCs w:val="18"/>
                <w:lang w:val="en-US"/>
              </w:rPr>
            </w:pPr>
            <w:r w:rsidRPr="0075705E">
              <w:rPr>
                <w:rFonts w:ascii="Sylfaen" w:eastAsia="Times New Roman" w:hAnsi="Sylfaen" w:cs="Sylfaen"/>
                <w:b/>
                <w:bCs/>
                <w:sz w:val="18"/>
                <w:szCs w:val="18"/>
                <w:lang w:val="en-US"/>
              </w:rPr>
              <w:t>კულტურა</w:t>
            </w:r>
          </w:p>
        </w:tc>
        <w:tc>
          <w:tcPr>
            <w:tcW w:w="0" w:type="auto"/>
            <w:tcBorders>
              <w:top w:val="outset" w:sz="6" w:space="0" w:color="auto"/>
              <w:left w:val="outset" w:sz="6" w:space="0" w:color="auto"/>
              <w:bottom w:val="outset" w:sz="6" w:space="0" w:color="auto"/>
              <w:right w:val="outset" w:sz="6" w:space="0" w:color="auto"/>
            </w:tcBorders>
            <w:tcMar>
              <w:top w:w="375" w:type="dxa"/>
              <w:left w:w="150" w:type="dxa"/>
              <w:bottom w:w="375" w:type="dxa"/>
              <w:right w:w="150" w:type="dxa"/>
            </w:tcMar>
            <w:vAlign w:val="center"/>
            <w:hideMark/>
          </w:tcPr>
          <w:p w14:paraId="5ED3D8A8" w14:textId="77777777" w:rsidR="0075705E" w:rsidRPr="0075705E" w:rsidRDefault="0075705E" w:rsidP="0075705E">
            <w:pPr>
              <w:spacing w:after="0"/>
              <w:jc w:val="center"/>
              <w:rPr>
                <w:rFonts w:ascii="panton" w:eastAsia="Times New Roman" w:hAnsi="panton" w:cs="Times New Roman"/>
                <w:b/>
                <w:bCs/>
                <w:sz w:val="18"/>
                <w:szCs w:val="18"/>
                <w:lang w:val="en-US"/>
              </w:rPr>
            </w:pPr>
            <w:r w:rsidRPr="0075705E">
              <w:rPr>
                <w:rFonts w:ascii="Sylfaen" w:eastAsia="Times New Roman" w:hAnsi="Sylfaen" w:cs="Sylfaen"/>
                <w:b/>
                <w:bCs/>
                <w:sz w:val="18"/>
                <w:szCs w:val="18"/>
                <w:lang w:val="en-US"/>
              </w:rPr>
              <w:t>მავნე</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ობიექტი</w:t>
            </w:r>
          </w:p>
        </w:tc>
        <w:tc>
          <w:tcPr>
            <w:tcW w:w="0" w:type="auto"/>
            <w:tcBorders>
              <w:top w:val="outset" w:sz="6" w:space="0" w:color="auto"/>
              <w:left w:val="outset" w:sz="6" w:space="0" w:color="auto"/>
              <w:bottom w:val="outset" w:sz="6" w:space="0" w:color="auto"/>
              <w:right w:val="outset" w:sz="6" w:space="0" w:color="auto"/>
            </w:tcBorders>
            <w:tcMar>
              <w:top w:w="375" w:type="dxa"/>
              <w:left w:w="150" w:type="dxa"/>
              <w:bottom w:w="375" w:type="dxa"/>
              <w:right w:w="150" w:type="dxa"/>
            </w:tcMar>
            <w:vAlign w:val="center"/>
            <w:hideMark/>
          </w:tcPr>
          <w:p w14:paraId="002B9DD2" w14:textId="77777777" w:rsidR="0075705E" w:rsidRPr="0075705E" w:rsidRDefault="0075705E" w:rsidP="0075705E">
            <w:pPr>
              <w:spacing w:after="0"/>
              <w:jc w:val="center"/>
              <w:rPr>
                <w:rFonts w:ascii="panton" w:eastAsia="Times New Roman" w:hAnsi="panton" w:cs="Times New Roman"/>
                <w:b/>
                <w:bCs/>
                <w:sz w:val="18"/>
                <w:szCs w:val="18"/>
                <w:lang w:val="en-US"/>
              </w:rPr>
            </w:pPr>
            <w:r w:rsidRPr="0075705E">
              <w:rPr>
                <w:rFonts w:ascii="Sylfaen" w:eastAsia="Times New Roman" w:hAnsi="Sylfaen" w:cs="Sylfaen"/>
                <w:b/>
                <w:bCs/>
                <w:sz w:val="18"/>
                <w:szCs w:val="18"/>
                <w:lang w:val="en-US"/>
              </w:rPr>
              <w:t>ხარჯვის</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ნორმა</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კგ</w:t>
            </w:r>
            <w:r w:rsidRPr="0075705E">
              <w:rPr>
                <w:rFonts w:ascii="panton" w:eastAsia="Times New Roman" w:hAnsi="panton" w:cs="Times New Roman"/>
                <w:b/>
                <w:bCs/>
                <w:sz w:val="18"/>
                <w:szCs w:val="18"/>
                <w:lang w:val="en-US"/>
              </w:rPr>
              <w:t>/</w:t>
            </w:r>
            <w:r w:rsidRPr="0075705E">
              <w:rPr>
                <w:rFonts w:ascii="Sylfaen" w:eastAsia="Times New Roman" w:hAnsi="Sylfaen" w:cs="Sylfaen"/>
                <w:b/>
                <w:bCs/>
                <w:sz w:val="18"/>
                <w:szCs w:val="18"/>
                <w:lang w:val="en-US"/>
              </w:rPr>
              <w:t>ჰა</w:t>
            </w:r>
          </w:p>
        </w:tc>
        <w:tc>
          <w:tcPr>
            <w:tcW w:w="0" w:type="auto"/>
            <w:tcBorders>
              <w:top w:val="outset" w:sz="6" w:space="0" w:color="auto"/>
              <w:left w:val="outset" w:sz="6" w:space="0" w:color="auto"/>
              <w:bottom w:val="outset" w:sz="6" w:space="0" w:color="auto"/>
              <w:right w:val="outset" w:sz="6" w:space="0" w:color="auto"/>
            </w:tcBorders>
            <w:tcMar>
              <w:top w:w="375" w:type="dxa"/>
              <w:left w:w="150" w:type="dxa"/>
              <w:bottom w:w="375" w:type="dxa"/>
              <w:right w:w="150" w:type="dxa"/>
            </w:tcMar>
            <w:vAlign w:val="center"/>
            <w:hideMark/>
          </w:tcPr>
          <w:p w14:paraId="24522D46" w14:textId="77777777" w:rsidR="0075705E" w:rsidRPr="0075705E" w:rsidRDefault="0075705E" w:rsidP="0075705E">
            <w:pPr>
              <w:spacing w:after="0"/>
              <w:jc w:val="center"/>
              <w:rPr>
                <w:rFonts w:ascii="panton" w:eastAsia="Times New Roman" w:hAnsi="panton" w:cs="Times New Roman"/>
                <w:b/>
                <w:bCs/>
                <w:sz w:val="18"/>
                <w:szCs w:val="18"/>
                <w:lang w:val="en-US"/>
              </w:rPr>
            </w:pPr>
            <w:r w:rsidRPr="0075705E">
              <w:rPr>
                <w:rFonts w:ascii="Sylfaen" w:eastAsia="Times New Roman" w:hAnsi="Sylfaen" w:cs="Sylfaen"/>
                <w:b/>
                <w:bCs/>
                <w:sz w:val="18"/>
                <w:szCs w:val="18"/>
                <w:lang w:val="en-US"/>
              </w:rPr>
              <w:t>სამუშაო</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ხსნარის</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მოცულობა</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ლ</w:t>
            </w:r>
            <w:r w:rsidRPr="0075705E">
              <w:rPr>
                <w:rFonts w:ascii="panton" w:eastAsia="Times New Roman" w:hAnsi="panton" w:cs="Times New Roman"/>
                <w:b/>
                <w:bCs/>
                <w:sz w:val="18"/>
                <w:szCs w:val="18"/>
                <w:lang w:val="en-US"/>
              </w:rPr>
              <w:t>/</w:t>
            </w:r>
            <w:r w:rsidRPr="0075705E">
              <w:rPr>
                <w:rFonts w:ascii="Sylfaen" w:eastAsia="Times New Roman" w:hAnsi="Sylfaen" w:cs="Sylfaen"/>
                <w:b/>
                <w:bCs/>
                <w:sz w:val="18"/>
                <w:szCs w:val="18"/>
                <w:lang w:val="en-US"/>
              </w:rPr>
              <w:t>ჰა</w:t>
            </w:r>
          </w:p>
        </w:tc>
        <w:tc>
          <w:tcPr>
            <w:tcW w:w="0" w:type="auto"/>
            <w:tcBorders>
              <w:top w:val="outset" w:sz="6" w:space="0" w:color="auto"/>
              <w:left w:val="outset" w:sz="6" w:space="0" w:color="auto"/>
              <w:bottom w:val="outset" w:sz="6" w:space="0" w:color="auto"/>
              <w:right w:val="outset" w:sz="6" w:space="0" w:color="auto"/>
            </w:tcBorders>
            <w:tcMar>
              <w:top w:w="375" w:type="dxa"/>
              <w:left w:w="150" w:type="dxa"/>
              <w:bottom w:w="375" w:type="dxa"/>
              <w:right w:w="150" w:type="dxa"/>
            </w:tcMar>
            <w:vAlign w:val="center"/>
            <w:hideMark/>
          </w:tcPr>
          <w:p w14:paraId="7F9FA1CE" w14:textId="77777777" w:rsidR="0075705E" w:rsidRPr="0075705E" w:rsidRDefault="0075705E" w:rsidP="0075705E">
            <w:pPr>
              <w:spacing w:after="0"/>
              <w:jc w:val="center"/>
              <w:rPr>
                <w:rFonts w:ascii="panton" w:eastAsia="Times New Roman" w:hAnsi="panton" w:cs="Times New Roman"/>
                <w:b/>
                <w:bCs/>
                <w:sz w:val="18"/>
                <w:szCs w:val="18"/>
                <w:lang w:val="en-US"/>
              </w:rPr>
            </w:pPr>
            <w:r w:rsidRPr="0075705E">
              <w:rPr>
                <w:rFonts w:ascii="Sylfaen" w:eastAsia="Times New Roman" w:hAnsi="Sylfaen" w:cs="Sylfaen"/>
                <w:b/>
                <w:bCs/>
                <w:sz w:val="18"/>
                <w:szCs w:val="18"/>
                <w:lang w:val="en-US"/>
              </w:rPr>
              <w:t>ლოდინის</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პერიოდი</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დღეები</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გამოყენების</w:t>
            </w:r>
            <w:r w:rsidRPr="0075705E">
              <w:rPr>
                <w:rFonts w:ascii="panton" w:eastAsia="Times New Roman" w:hAnsi="panton" w:cs="Times New Roman"/>
                <w:b/>
                <w:bCs/>
                <w:sz w:val="18"/>
                <w:szCs w:val="18"/>
                <w:lang w:val="en-US"/>
              </w:rPr>
              <w:t xml:space="preserve"> </w:t>
            </w:r>
            <w:r w:rsidRPr="0075705E">
              <w:rPr>
                <w:rFonts w:ascii="Sylfaen" w:eastAsia="Times New Roman" w:hAnsi="Sylfaen" w:cs="Sylfaen"/>
                <w:b/>
                <w:bCs/>
                <w:sz w:val="18"/>
                <w:szCs w:val="18"/>
                <w:lang w:val="en-US"/>
              </w:rPr>
              <w:t>ჯერადობა</w:t>
            </w:r>
            <w:r w:rsidRPr="0075705E">
              <w:rPr>
                <w:rFonts w:ascii="panton" w:eastAsia="Times New Roman" w:hAnsi="panton" w:cs="Times New Roman"/>
                <w:b/>
                <w:bCs/>
                <w:sz w:val="18"/>
                <w:szCs w:val="18"/>
                <w:lang w:val="en-US"/>
              </w:rPr>
              <w:t>)</w:t>
            </w:r>
          </w:p>
        </w:tc>
      </w:tr>
      <w:tr w:rsidR="0075705E" w:rsidRPr="0075705E" w14:paraId="4A13F078" w14:textId="77777777" w:rsidTr="0075705E">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2AE5F666"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ვაზი</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532A68B1"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ჭრაქი, ფომოფსისი</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1CFF2CA3"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2.5-3</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046036FF"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600-800</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7A2A7693"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24 (2-3)</w:t>
            </w:r>
          </w:p>
        </w:tc>
      </w:tr>
      <w:tr w:rsidR="0075705E" w:rsidRPr="0075705E" w14:paraId="0B794514" w14:textId="77777777" w:rsidTr="0075705E">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79FD0A3A"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პომიდორი, კარტოფილი</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7B7E3CB7"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ფიტოფტოროზი, ალტერნარიოზი</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34EC3D2E"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2.5-3</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65F3DB8F"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300-400</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573AF296"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14 (2-3)</w:t>
            </w:r>
          </w:p>
        </w:tc>
      </w:tr>
      <w:tr w:rsidR="0075705E" w:rsidRPr="0075705E" w14:paraId="30C3BC73" w14:textId="77777777" w:rsidTr="0075705E">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465BC8E9"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კიტრი, ნესვი, საზამთრო, გოგრა, ხახვი</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4A3778C6"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პერონოსპოროზი (ჭრაქი)</w:t>
            </w:r>
            <w:r w:rsidRPr="0075705E">
              <w:rPr>
                <w:rFonts w:ascii="segoe" w:eastAsia="Times New Roman" w:hAnsi="segoe" w:cs="Times New Roman"/>
                <w:sz w:val="18"/>
                <w:szCs w:val="18"/>
                <w:lang w:val="en-US"/>
              </w:rPr>
              <w:br/>
              <w:t>ხახვის ჭრაქი</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4D210D82"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2.5-3</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08101C4E"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300-400</w:t>
            </w:r>
          </w:p>
        </w:tc>
        <w:tc>
          <w:tcPr>
            <w:tcW w:w="0" w:type="auto"/>
            <w:tcBorders>
              <w:top w:val="outset" w:sz="6" w:space="0" w:color="auto"/>
              <w:left w:val="outset" w:sz="6" w:space="0" w:color="auto"/>
              <w:bottom w:val="outset" w:sz="6" w:space="0" w:color="auto"/>
              <w:right w:val="outset" w:sz="6" w:space="0" w:color="auto"/>
            </w:tcBorders>
            <w:tcMar>
              <w:top w:w="225" w:type="dxa"/>
              <w:left w:w="150" w:type="dxa"/>
              <w:bottom w:w="225" w:type="dxa"/>
              <w:right w:w="150" w:type="dxa"/>
            </w:tcMar>
            <w:vAlign w:val="center"/>
            <w:hideMark/>
          </w:tcPr>
          <w:p w14:paraId="6D1A9B46" w14:textId="77777777" w:rsidR="0075705E" w:rsidRPr="0075705E" w:rsidRDefault="0075705E" w:rsidP="0075705E">
            <w:pPr>
              <w:spacing w:after="0"/>
              <w:jc w:val="center"/>
              <w:rPr>
                <w:rFonts w:ascii="segoe" w:eastAsia="Times New Roman" w:hAnsi="segoe" w:cs="Times New Roman"/>
                <w:sz w:val="18"/>
                <w:szCs w:val="18"/>
                <w:lang w:val="en-US"/>
              </w:rPr>
            </w:pPr>
            <w:r w:rsidRPr="0075705E">
              <w:rPr>
                <w:rFonts w:ascii="segoe" w:eastAsia="Times New Roman" w:hAnsi="segoe" w:cs="Times New Roman"/>
                <w:sz w:val="18"/>
                <w:szCs w:val="18"/>
                <w:lang w:val="en-US"/>
              </w:rPr>
              <w:t>14 (2-3)</w:t>
            </w:r>
          </w:p>
        </w:tc>
      </w:tr>
    </w:tbl>
    <w:p w14:paraId="156A3FD4" w14:textId="77777777" w:rsidR="00F12C76" w:rsidRDefault="00F12C76" w:rsidP="0075705E">
      <w:pPr>
        <w:spacing w:after="0"/>
        <w:ind w:firstLine="709"/>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w:altName w:val="Segoe UI"/>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pant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E5"/>
    <w:rsid w:val="001F56E5"/>
    <w:rsid w:val="006C0B77"/>
    <w:rsid w:val="0075705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D99B3-FB96-4A4E-83DD-35B3064E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77040">
      <w:bodyDiv w:val="1"/>
      <w:marLeft w:val="0"/>
      <w:marRight w:val="0"/>
      <w:marTop w:val="0"/>
      <w:marBottom w:val="0"/>
      <w:divBdr>
        <w:top w:val="none" w:sz="0" w:space="0" w:color="auto"/>
        <w:left w:val="none" w:sz="0" w:space="0" w:color="auto"/>
        <w:bottom w:val="none" w:sz="0" w:space="0" w:color="auto"/>
        <w:right w:val="none" w:sz="0" w:space="0" w:color="auto"/>
      </w:divBdr>
      <w:divsChild>
        <w:div w:id="1010911389">
          <w:marLeft w:val="0"/>
          <w:marRight w:val="0"/>
          <w:marTop w:val="0"/>
          <w:marBottom w:val="600"/>
          <w:divBdr>
            <w:top w:val="none" w:sz="0" w:space="0" w:color="auto"/>
            <w:left w:val="none" w:sz="0" w:space="0" w:color="auto"/>
            <w:bottom w:val="none" w:sz="0" w:space="0" w:color="auto"/>
            <w:right w:val="none" w:sz="0" w:space="0" w:color="auto"/>
          </w:divBdr>
        </w:div>
        <w:div w:id="1734424746">
          <w:marLeft w:val="0"/>
          <w:marRight w:val="0"/>
          <w:marTop w:val="0"/>
          <w:marBottom w:val="0"/>
          <w:divBdr>
            <w:top w:val="none" w:sz="0" w:space="0" w:color="auto"/>
            <w:left w:val="none" w:sz="0" w:space="0" w:color="auto"/>
            <w:bottom w:val="none" w:sz="0" w:space="0" w:color="auto"/>
            <w:right w:val="none" w:sz="0" w:space="0" w:color="auto"/>
          </w:divBdr>
          <w:divsChild>
            <w:div w:id="19853110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BORUN24</dc:creator>
  <cp:keywords/>
  <dc:description/>
  <cp:lastModifiedBy>BORUN24</cp:lastModifiedBy>
  <cp:revision>2</cp:revision>
  <dcterms:created xsi:type="dcterms:W3CDTF">2021-04-12T04:44:00Z</dcterms:created>
  <dcterms:modified xsi:type="dcterms:W3CDTF">2021-04-12T04:44:00Z</dcterms:modified>
</cp:coreProperties>
</file>