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7CD4" w14:textId="77777777" w:rsidR="001635C3" w:rsidRPr="001635C3" w:rsidRDefault="001635C3" w:rsidP="001635C3">
      <w:pPr>
        <w:spacing w:after="0"/>
        <w:jc w:val="both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b/>
          <w:bCs/>
          <w:color w:val="000000"/>
          <w:sz w:val="20"/>
          <w:szCs w:val="20"/>
          <w:lang w:val="en-US"/>
        </w:rPr>
        <w:t>ტალავი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 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არის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ინსექტო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აკარიციდი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რომელიც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ებრძვის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სასოფლო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სამეურნეო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კულტურების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ყველა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სახეობის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მავნე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ტკიპებსა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ჭიჭინობელებს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იგი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მოქმედებს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განვითარების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ყველა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ფაზაზე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მათ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შორის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ტკიპას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კვერცხებზეც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.</w:t>
      </w:r>
    </w:p>
    <w:p w14:paraId="0B4E9641" w14:textId="77777777" w:rsidR="001635C3" w:rsidRPr="001635C3" w:rsidRDefault="001635C3" w:rsidP="001635C3">
      <w:pPr>
        <w:spacing w:after="0"/>
        <w:jc w:val="both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 </w:t>
      </w:r>
    </w:p>
    <w:p w14:paraId="60E6E8CB" w14:textId="77777777" w:rsidR="001635C3" w:rsidRPr="001635C3" w:rsidRDefault="001635C3" w:rsidP="001635C3">
      <w:pPr>
        <w:spacing w:after="0"/>
        <w:jc w:val="both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პრეპარატი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მოქმედებს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შეხებით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საჭმლის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მომნელებელი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სისტემის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საშუალებით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შესხურებისთანავე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იჭრება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მცენარის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წვენში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ანადგურებს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იმ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ტკიპასაც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რომელიც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წამლობისას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არ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იმყოფებოდა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კონტაქტში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მას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გააჩნია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შერჩევითი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მოქმედების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უნარი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არ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ვნებს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ფუტკრებს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მტაცებელ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სასარგებლო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ტკიპებს</w:t>
      </w:r>
      <w:proofErr w:type="spellEnd"/>
    </w:p>
    <w:p w14:paraId="157DA1E5" w14:textId="77777777" w:rsidR="001635C3" w:rsidRPr="001635C3" w:rsidRDefault="001635C3" w:rsidP="001635C3">
      <w:pPr>
        <w:spacing w:after="0"/>
        <w:jc w:val="both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 </w:t>
      </w:r>
    </w:p>
    <w:p w14:paraId="0FB8821F" w14:textId="77777777" w:rsidR="001635C3" w:rsidRPr="001635C3" w:rsidRDefault="001635C3" w:rsidP="001635C3">
      <w:pPr>
        <w:spacing w:after="0"/>
        <w:jc w:val="both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b/>
          <w:bCs/>
          <w:color w:val="000000"/>
          <w:sz w:val="20"/>
          <w:szCs w:val="20"/>
          <w:lang w:val="en-US"/>
        </w:rPr>
        <w:t>უპირატესობები</w:t>
      </w:r>
      <w:proofErr w:type="spellEnd"/>
      <w:r w:rsidRPr="001635C3">
        <w:rPr>
          <w:rFonts w:ascii="segoe" w:eastAsia="Times New Roman" w:hAnsi="segoe" w:cs="Times New Roman"/>
          <w:b/>
          <w:bCs/>
          <w:color w:val="000000"/>
          <w:sz w:val="20"/>
          <w:szCs w:val="20"/>
          <w:lang w:val="en-US"/>
        </w:rPr>
        <w:t>:</w:t>
      </w:r>
    </w:p>
    <w:p w14:paraId="34648E05" w14:textId="77777777" w:rsidR="001635C3" w:rsidRPr="001635C3" w:rsidRDefault="001635C3" w:rsidP="001635C3">
      <w:pPr>
        <w:numPr>
          <w:ilvl w:val="0"/>
          <w:numId w:val="1"/>
        </w:numPr>
        <w:spacing w:after="0"/>
        <w:ind w:left="0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ეფექტურია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განვითარების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ყველა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სტადიაში</w:t>
      </w:r>
      <w:proofErr w:type="spellEnd"/>
    </w:p>
    <w:p w14:paraId="10A9167C" w14:textId="77777777" w:rsidR="001635C3" w:rsidRPr="001635C3" w:rsidRDefault="001635C3" w:rsidP="001635C3">
      <w:pPr>
        <w:numPr>
          <w:ilvl w:val="0"/>
          <w:numId w:val="1"/>
        </w:numPr>
        <w:spacing w:after="0"/>
        <w:ind w:left="0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ახასიათებს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შერჩევითობა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არ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მოქმედებს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სასარგებლო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მტაცებელ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ტკიპებზე</w:t>
      </w:r>
      <w:proofErr w:type="spellEnd"/>
    </w:p>
    <w:p w14:paraId="41D03D28" w14:textId="77777777" w:rsidR="001635C3" w:rsidRPr="001635C3" w:rsidRDefault="001635C3" w:rsidP="001635C3">
      <w:pPr>
        <w:numPr>
          <w:ilvl w:val="0"/>
          <w:numId w:val="1"/>
        </w:numPr>
        <w:spacing w:after="0"/>
        <w:ind w:left="0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ეფექტურია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მაღალი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დაბალი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ტემპერატურის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პირობებშიც</w:t>
      </w:r>
      <w:proofErr w:type="spellEnd"/>
    </w:p>
    <w:p w14:paraId="6CC70484" w14:textId="77777777" w:rsidR="001635C3" w:rsidRPr="001635C3" w:rsidRDefault="001635C3" w:rsidP="001635C3">
      <w:pPr>
        <w:numPr>
          <w:ilvl w:val="0"/>
          <w:numId w:val="1"/>
        </w:numPr>
        <w:spacing w:after="0"/>
        <w:ind w:left="0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საუკეთესო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პრეპრატია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ანტირეზისტენტულ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სისტემაში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გამოსაყენებლად</w:t>
      </w:r>
      <w:proofErr w:type="spellEnd"/>
    </w:p>
    <w:p w14:paraId="2A0525C1" w14:textId="77777777" w:rsidR="001635C3" w:rsidRPr="001635C3" w:rsidRDefault="001635C3" w:rsidP="001635C3">
      <w:pPr>
        <w:numPr>
          <w:ilvl w:val="0"/>
          <w:numId w:val="1"/>
        </w:numPr>
        <w:ind w:left="0"/>
        <w:rPr>
          <w:rFonts w:ascii="segoe" w:eastAsia="Times New Roman" w:hAnsi="segoe" w:cs="Times New Roman"/>
          <w:color w:val="000000"/>
          <w:sz w:val="20"/>
          <w:szCs w:val="20"/>
          <w:lang w:val="en-US"/>
        </w:rPr>
      </w:pP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თავსებადია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სხვა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პესტიციდებთან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და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წყალში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ხსნად</w:t>
      </w:r>
      <w:proofErr w:type="spellEnd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35C3">
        <w:rPr>
          <w:rFonts w:ascii="segoe" w:eastAsia="Times New Roman" w:hAnsi="segoe" w:cs="Times New Roman"/>
          <w:color w:val="000000"/>
          <w:sz w:val="20"/>
          <w:szCs w:val="20"/>
          <w:lang w:val="en-US"/>
        </w:rPr>
        <w:t>სასუქებთან</w:t>
      </w:r>
      <w:proofErr w:type="spellEnd"/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069"/>
        <w:gridCol w:w="1110"/>
        <w:gridCol w:w="1411"/>
        <w:gridCol w:w="1716"/>
      </w:tblGrid>
      <w:tr w:rsidR="001635C3" w:rsidRPr="001635C3" w14:paraId="66C1F9F8" w14:textId="77777777" w:rsidTr="001635C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14:paraId="228622E0" w14:textId="77777777" w:rsidR="001635C3" w:rsidRPr="001635C3" w:rsidRDefault="001635C3" w:rsidP="001635C3">
            <w:pPr>
              <w:spacing w:after="0"/>
              <w:jc w:val="center"/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კულტურა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14:paraId="0EF4A2FA" w14:textId="77777777" w:rsidR="001635C3" w:rsidRPr="001635C3" w:rsidRDefault="001635C3" w:rsidP="001635C3">
            <w:pPr>
              <w:spacing w:after="0"/>
              <w:jc w:val="center"/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მავნე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ობიექტი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14:paraId="5A1CFBC1" w14:textId="77777777" w:rsidR="001635C3" w:rsidRPr="001635C3" w:rsidRDefault="001635C3" w:rsidP="001635C3">
            <w:pPr>
              <w:spacing w:after="0"/>
              <w:jc w:val="center"/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ხარჯვის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ნორმა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კგ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ჰა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14:paraId="24F2F807" w14:textId="77777777" w:rsidR="001635C3" w:rsidRPr="001635C3" w:rsidRDefault="001635C3" w:rsidP="001635C3">
            <w:pPr>
              <w:spacing w:after="0"/>
              <w:jc w:val="center"/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სამუშაო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ხსნარის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მოცულობა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ლ</w:t>
            </w:r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ჰა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14:paraId="1821E103" w14:textId="77777777" w:rsidR="001635C3" w:rsidRPr="001635C3" w:rsidRDefault="001635C3" w:rsidP="001635C3">
            <w:pPr>
              <w:spacing w:after="0"/>
              <w:jc w:val="center"/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ლოდინის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პერიოდი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დღეები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გამოყენების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  <w:t>ჯერადობა</w:t>
            </w:r>
            <w:proofErr w:type="spellEnd"/>
            <w:r w:rsidRPr="001635C3">
              <w:rPr>
                <w:rFonts w:ascii="panton" w:eastAsia="Times New Roman" w:hAnsi="panto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1635C3" w:rsidRPr="001635C3" w14:paraId="45397F97" w14:textId="77777777" w:rsidTr="00163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A9F7CAE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ვაზი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37EF408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ვაზის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აბლაბუდიანი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ჭიჭინობელა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864A210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0.3-0.5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7A9FA69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600-800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EF84344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7 (2)</w:t>
            </w:r>
          </w:p>
        </w:tc>
      </w:tr>
      <w:tr w:rsidR="001635C3" w:rsidRPr="001635C3" w14:paraId="4A667CC2" w14:textId="77777777" w:rsidTr="00163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9E08F4F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მსხალი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6E6A02B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მსხლის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ფსილა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89B5CA1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0.8-1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B3D3926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800-1000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6C6242C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7 (2)</w:t>
            </w:r>
          </w:p>
        </w:tc>
      </w:tr>
      <w:tr w:rsidR="001635C3" w:rsidRPr="001635C3" w14:paraId="3A61B72A" w14:textId="77777777" w:rsidTr="00163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8CCF0F9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ხეხილი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94559C5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წითელი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კუნელის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491C831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0.4-0.5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7B9A94F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800-1000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8A12DAA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14 (2)</w:t>
            </w:r>
          </w:p>
        </w:tc>
      </w:tr>
      <w:tr w:rsidR="001635C3" w:rsidRPr="001635C3" w14:paraId="1D84090B" w14:textId="77777777" w:rsidTr="00163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1BC8905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ციტრუსი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8E15896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ვერცხლისფერი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წითელბეწვიანი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8104F2F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0.4-0.6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4BA65A2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1000-15000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DD9F475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20 (2)</w:t>
            </w:r>
          </w:p>
        </w:tc>
      </w:tr>
      <w:tr w:rsidR="001635C3" w:rsidRPr="001635C3" w14:paraId="7F14E67D" w14:textId="77777777" w:rsidTr="00163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D5BAAFB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ლობიო</w:t>
            </w:r>
            <w:proofErr w:type="spellEnd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სოია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0BB6407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proofErr w:type="spellStart"/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ტკიპები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FF962B1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0.25-0.37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D4C0DC5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300-400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9B926DD" w14:textId="77777777" w:rsidR="001635C3" w:rsidRPr="001635C3" w:rsidRDefault="001635C3" w:rsidP="001635C3">
            <w:pPr>
              <w:spacing w:after="0"/>
              <w:jc w:val="center"/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</w:pPr>
            <w:r w:rsidRPr="001635C3">
              <w:rPr>
                <w:rFonts w:ascii="segoe" w:eastAsia="Times New Roman" w:hAnsi="segoe" w:cs="Times New Roman"/>
                <w:sz w:val="18"/>
                <w:szCs w:val="18"/>
                <w:lang w:val="en-US"/>
              </w:rPr>
              <w:t>10 (2)</w:t>
            </w:r>
          </w:p>
        </w:tc>
      </w:tr>
    </w:tbl>
    <w:p w14:paraId="27F79F46" w14:textId="77777777" w:rsidR="00F12C76" w:rsidRDefault="00F12C76" w:rsidP="001635C3">
      <w:pPr>
        <w:spacing w:after="0"/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panton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0F8F"/>
    <w:multiLevelType w:val="multilevel"/>
    <w:tmpl w:val="1D6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2447E"/>
    <w:multiLevelType w:val="multilevel"/>
    <w:tmpl w:val="B5D0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D1"/>
    <w:rsid w:val="001635C3"/>
    <w:rsid w:val="006C0B77"/>
    <w:rsid w:val="008242FF"/>
    <w:rsid w:val="00870751"/>
    <w:rsid w:val="00922C48"/>
    <w:rsid w:val="00A53AD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A8A2"/>
  <w15:chartTrackingRefBased/>
  <w15:docId w15:val="{11CDF4C2-EC9E-499D-8B92-22466DE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3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BORUN24</cp:lastModifiedBy>
  <cp:revision>2</cp:revision>
  <dcterms:created xsi:type="dcterms:W3CDTF">2021-04-12T04:44:00Z</dcterms:created>
  <dcterms:modified xsi:type="dcterms:W3CDTF">2021-04-12T04:45:00Z</dcterms:modified>
</cp:coreProperties>
</file>